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2 Практическая работа </w:t>
      </w: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«</w:t>
      </w:r>
      <w:proofErr w:type="gramStart"/>
      <w:r w:rsidRPr="00E04E0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Расчёт  ригеля</w:t>
      </w:r>
      <w:proofErr w:type="gramEnd"/>
      <w:r w:rsidRPr="00E04E0A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на прочность по нормальным сечениям» </w:t>
      </w: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 Определение усилий в сечениях ригеля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Рассчитываемый ригель примем шарнирно опёртым на колонну (рисунок 2.1). Расчётный пролёт ригеля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равен  расстоянию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осями </w:t>
      </w:r>
      <w:proofErr w:type="spell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опирания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ригеля на колонну </w:t>
      </w:r>
      <w:r w:rsidRPr="00E04E0A">
        <w:rPr>
          <w:rFonts w:ascii="French Script MT" w:eastAsia="Times New Roman" w:hAnsi="French Script MT" w:cs="Times New Roman"/>
          <w:i/>
          <w:sz w:val="32"/>
          <w:szCs w:val="32"/>
          <w:lang w:val="en-US" w:eastAsia="ru-RU"/>
        </w:rPr>
        <w:t>l</w:t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= а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0,6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м, где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расстояние между осями колонн поперёк здания (рисунок 1.1) .</w:t>
      </w:r>
    </w:p>
    <w:p w:rsidR="00E04E0A" w:rsidRPr="00E04E0A" w:rsidRDefault="00E04E0A" w:rsidP="00E04E0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Courier New" w:eastAsia="Times New Roman" w:hAnsi="Courier New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163830</wp:posOffset>
            </wp:positionV>
            <wp:extent cx="6115685" cy="2424430"/>
            <wp:effectExtent l="0" t="0" r="0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13" b="8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 – Шарнирный стык ригеля с колонной</w:t>
      </w:r>
    </w:p>
    <w:p w:rsidR="00E04E0A" w:rsidRPr="00E04E0A" w:rsidRDefault="00E04E0A" w:rsidP="00E04E0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Изгибающий момент шарнирно опёртой балки в середине пролёта от расчётной нагрузки определим по формуле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28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42pt" o:ole="">
            <v:imagedata r:id="rId6" o:title=""/>
          </v:shape>
          <o:OLEObject Type="Embed" ProgID="Equation.3" ShapeID="_x0000_i1025" DrawAspect="Content" ObjectID="_1640463393" r:id="rId7"/>
        </w:objec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(2.1)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+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полная расчётная нагрузка по таблице 1.2;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расчётный пролёт ригеля.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Поперечная сила в опорном сечении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i/>
          <w:position w:val="-16"/>
          <w:sz w:val="28"/>
          <w:szCs w:val="28"/>
          <w:lang w:eastAsia="ru-RU"/>
        </w:rPr>
        <w:object w:dxaOrig="3440" w:dyaOrig="420">
          <v:shape id="_x0000_i1026" type="#_x0000_t75" style="width:171.75pt;height:21pt" o:ole="">
            <v:imagedata r:id="rId8" o:title=""/>
          </v:shape>
          <o:OLEObject Type="Embed" ProgID="Equation.3" ShapeID="_x0000_i1026" DrawAspect="Content" ObjectID="_1640463394" r:id="rId9"/>
        </w:objec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(2.2)</w:t>
      </w:r>
    </w:p>
    <w:p w:rsidR="00E04E0A" w:rsidRPr="00E04E0A" w:rsidRDefault="00E04E0A" w:rsidP="00E04E0A">
      <w:pPr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последующих расчётов построим эпюру изгибающих моментов (рисунок 2.2). Эпюра моментов</w:t>
      </w:r>
      <w:r w:rsidRPr="00E04E0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очерчена по квадратной параболе. Квадратную параболу строим в масштабе по пяти точкам: на опорах, в четверти и средине пролёта. </w:t>
      </w: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469900</wp:posOffset>
            </wp:positionV>
            <wp:extent cx="6115685" cy="2642235"/>
            <wp:effectExtent l="0" t="0" r="0" b="5715"/>
            <wp:wrapTight wrapText="bothSides">
              <wp:wrapPolygon edited="0">
                <wp:start x="0" y="0"/>
                <wp:lineTo x="0" y="21491"/>
                <wp:lineTo x="21530" y="21491"/>
                <wp:lineTo x="2153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64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E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11</w:t>
      </w:r>
    </w:p>
    <w:p w:rsidR="00E04E0A" w:rsidRPr="00E04E0A" w:rsidRDefault="00E04E0A" w:rsidP="00E04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2.2 –Эпюра изгибающих моментов в ригеле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Подбор поперечного сечения арматуры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Подбор поперечного сечения арматуры производим по таблицам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А.1,А.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</w:p>
    <w:p w:rsidR="00E04E0A" w:rsidRPr="00E04E0A" w:rsidRDefault="00E04E0A" w:rsidP="00E04E0A">
      <w:pPr>
        <w:spacing w:after="12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табличный коэффициент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</w:t>
      </w:r>
    </w:p>
    <w:p w:rsidR="00E04E0A" w:rsidRPr="00E04E0A" w:rsidRDefault="00E04E0A" w:rsidP="00E04E0A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sz w:val="24"/>
          <w:szCs w:val="28"/>
          <w:vertAlign w:val="subscript"/>
          <w:lang w:eastAsia="ru-RU"/>
        </w:rPr>
      </w:pPr>
      <w:r w:rsidRPr="00E04E0A">
        <w:rPr>
          <w:rFonts w:ascii="Times New Roman" w:eastAsia="Times New Roman" w:hAnsi="Times New Roman" w:cs="Times New Roman"/>
          <w:position w:val="-42"/>
          <w:sz w:val="24"/>
          <w:szCs w:val="28"/>
          <w:vertAlign w:val="subscript"/>
          <w:lang w:eastAsia="ru-RU"/>
        </w:rPr>
        <w:object w:dxaOrig="1620" w:dyaOrig="859">
          <v:shape id="_x0000_i1027" type="#_x0000_t75" style="width:81pt;height:42.75pt" o:ole="" fillcolor="window">
            <v:imagedata r:id="rId11" o:title=""/>
          </v:shape>
          <o:OLEObject Type="Embed" ProgID="Equation.3" ShapeID="_x0000_i1027" DrawAspect="Content" ObjectID="_1640463395" r:id="rId12"/>
        </w:object>
      </w:r>
      <w:r w:rsidRPr="00E04E0A">
        <w:rPr>
          <w:rFonts w:ascii="Times New Roman" w:eastAsia="Times New Roman" w:hAnsi="Times New Roman" w:cs="Times New Roman"/>
          <w:sz w:val="24"/>
          <w:szCs w:val="28"/>
          <w:vertAlign w:val="subscript"/>
          <w:lang w:eastAsia="ru-RU"/>
        </w:rPr>
        <w:t xml:space="preserve"> </w:t>
      </w:r>
      <w:proofErr w:type="gramStart"/>
      <w:r w:rsidRPr="00E04E0A">
        <w:rPr>
          <w:rFonts w:ascii="Times New Roman" w:eastAsia="Times New Roman" w:hAnsi="Times New Roman" w:cs="Times New Roman"/>
          <w:sz w:val="24"/>
          <w:szCs w:val="28"/>
          <w:vertAlign w:val="subscript"/>
          <w:lang w:eastAsia="ru-RU"/>
        </w:rPr>
        <w:t xml:space="preserve">,   </w:t>
      </w:r>
      <w:proofErr w:type="gramEnd"/>
      <w:r w:rsidRPr="00E04E0A">
        <w:rPr>
          <w:rFonts w:ascii="Times New Roman" w:eastAsia="Times New Roman" w:hAnsi="Times New Roman" w:cs="Times New Roman"/>
          <w:sz w:val="24"/>
          <w:szCs w:val="28"/>
          <w:vertAlign w:val="subscript"/>
          <w:lang w:eastAsia="ru-RU"/>
        </w:rPr>
        <w:t xml:space="preserve">  </w:t>
      </w:r>
      <w:r w:rsidRPr="00E04E0A">
        <w:rPr>
          <w:rFonts w:ascii="Times New Roman" w:eastAsia="Times New Roman" w:hAnsi="Times New Roman" w:cs="Times New Roman"/>
          <w:sz w:val="24"/>
          <w:szCs w:val="28"/>
          <w:lang w:eastAsia="ru-RU"/>
        </w:rPr>
        <w:t>(2.3)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изгибающий момент в середине пролёта ригеля, определённый по (2.1); </w:t>
      </w:r>
      <w:proofErr w:type="spellStart"/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b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расчётное сопротивление бетона на сжатие при изгибе (таблица Б.1);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ширина ригеля;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E04E0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-рабочая высота сечения (рисунок 2.4). При подборе арматуры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proofErr w:type="gramStart"/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E04E0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приближённо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= 0,8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р.,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высота поперечного сечения ригеля.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</w:p>
    <w:p w:rsidR="00E04E0A" w:rsidRPr="00E04E0A" w:rsidRDefault="00E04E0A" w:rsidP="00E04E0A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вычисленному значению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1"/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таблице А.1 определяем значение коэффициента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A"/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Требуемая площадь арматуры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по формуле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Courier New" w:eastAsia="Times New Roman" w:hAnsi="Courier New" w:cs="Times New Roman"/>
          <w:position w:val="-34"/>
          <w:sz w:val="20"/>
          <w:szCs w:val="28"/>
          <w:lang w:eastAsia="ru-RU"/>
        </w:rPr>
        <w:object w:dxaOrig="1820" w:dyaOrig="780">
          <v:shape id="_x0000_i1028" type="#_x0000_t75" style="width:90.75pt;height:39pt" o:ole="" fillcolor="window">
            <v:imagedata r:id="rId13" o:title=""/>
          </v:shape>
          <o:OLEObject Type="Embed" ProgID="Equation.3" ShapeID="_x0000_i1028" DrawAspect="Content" ObjectID="_1640463396" r:id="rId14"/>
        </w:object>
      </w:r>
      <w:r w:rsidRPr="00E04E0A">
        <w:rPr>
          <w:rFonts w:ascii="Courier New" w:eastAsia="Times New Roman" w:hAnsi="Courier New" w:cs="Times New Roman"/>
          <w:sz w:val="20"/>
          <w:szCs w:val="28"/>
          <w:lang w:eastAsia="ru-RU"/>
        </w:rPr>
        <w:t xml:space="preserve">    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(2.4)</w:t>
      </w:r>
    </w:p>
    <w:p w:rsidR="00E04E0A" w:rsidRPr="00E04E0A" w:rsidRDefault="00E04E0A" w:rsidP="00E04E0A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расчётное сопротивление арматуры по таблице Б.2.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требуемой площади </w:t>
      </w:r>
      <w:proofErr w:type="gramStart"/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,</w:t>
      </w:r>
      <w:proofErr w:type="spellStart"/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тр</w:t>
      </w:r>
      <w:proofErr w:type="spellEnd"/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А.2 производим подбор поперечного сечения арматуры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условия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≥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,тр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04E0A" w:rsidRPr="00E04E0A" w:rsidRDefault="00E04E0A" w:rsidP="00E04E0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Диаметр арматуры принимается из расчёта расположения в сечении не менее двух каркасов.   В каждом каркасе должно быть не менее двух рабочих стержней в нижней зоне сечения (рисунок 2.3). 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 Конструирование арматурного каркаса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 результатам подбора арматуры конструируем арматурный каркас (рисунок 2.3), выполняя при этом требование норм [2]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[2] толщина защитного слоя для продольной рабочей арматуры в балках высотой более </w:t>
      </w:r>
      <w:smartTag w:uri="urn:schemas-microsoft-com:office:smarttags" w:element="metricconverter">
        <w:smartTagPr>
          <w:attr w:name="ProductID" w:val="2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быть не менее </w:t>
      </w:r>
      <w:smartTag w:uri="urn:schemas-microsoft-com:office:smarttags" w:element="metricconverter">
        <w:smartTagPr>
          <w:attr w:name="ProductID" w:val="2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менее диаметра стержня.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Толщина защитного слоя для поперечной и конструктивной арматуры в балках высотой более </w:t>
      </w:r>
      <w:smartTag w:uri="urn:schemas-microsoft-com:office:smarttags" w:element="metricconverter">
        <w:smartTagPr>
          <w:attr w:name="ProductID" w:val="2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быть не менее </w:t>
      </w:r>
      <w:smartTag w:uri="urn:schemas-microsoft-com:office:smarttags" w:element="metricconverter">
        <w:smartTagPr>
          <w:attr w:name="ProductID" w:val="15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менее диаметра поперечной арматуры.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Расстояние в свету между стержнями продольной арматуры по высоте сечения должны приниматься не менее 25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мм  для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нижней арматуры и 30 мм для верхней.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Верхняя продольная арматура рассчитывается на монтажные нагрузки. В практической работе её диаметр можно принять равным 12 мм.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Как правило, арматурные стержни объединяются в каркасы с помощью поперечной арматуры (рисунок 2.3). При ширине балки 150 – </w:t>
      </w:r>
      <w:smartTag w:uri="urn:schemas-microsoft-com:office:smarttags" w:element="metricconverter">
        <w:smartTagPr>
          <w:attr w:name="ProductID" w:val="3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правило, устанавливается два каркаса.  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Расстояние между стержнями поперечной арматуры (шаг) принимается на </w:t>
      </w:r>
      <w:proofErr w:type="spell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приопорных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участках, равных ¼ пролёта: 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высоте сечения до </w:t>
      </w:r>
      <w:smartTag w:uri="urn:schemas-microsoft-com:office:smarttags" w:element="metricconverter">
        <w:smartTagPr>
          <w:attr w:name="ProductID" w:val="4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proofErr w:type="gramStart"/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</w:t>
      </w:r>
      <w:smartTag w:uri="urn:schemas-microsoft-com:office:smarttags" w:element="metricconverter">
        <w:smartTagPr>
          <w:attr w:name="ProductID" w:val="1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высоте сечения свыше </w:t>
      </w:r>
      <w:smartTag w:uri="urn:schemas-microsoft-com:office:smarttags" w:element="metricconverter">
        <w:smartTagPr>
          <w:attr w:name="ProductID" w:val="4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более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/3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более </w:t>
      </w:r>
      <w:smartTag w:uri="urn:schemas-microsoft-com:office:smarttags" w:element="metricconverter">
        <w:smartTagPr>
          <w:attr w:name="ProductID" w:val="5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остальной части пролёта при высоте сечения более </w:t>
      </w:r>
      <w:smartTag w:uri="urn:schemas-microsoft-com:office:smarttags" w:element="metricconverter">
        <w:smartTagPr>
          <w:attr w:name="ProductID" w:val="3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 принимается не более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¾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более </w:t>
      </w:r>
      <w:smartTag w:uri="urn:schemas-microsoft-com:office:smarttags" w:element="metricconverter">
        <w:smartTagPr>
          <w:attr w:name="ProductID" w:val="5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высоте сечения </w:t>
      </w:r>
      <w:r w:rsidRPr="00E04E0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менее </w:t>
      </w:r>
      <w:smartTag w:uri="urn:schemas-microsoft-com:office:smarttags" w:element="metricconverter">
        <w:smartTagPr>
          <w:attr w:name="ProductID" w:val="3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поперечную арматуру не устанавливать.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Диаметр поперечной арматуры в сварных каркасах устанавливается из условия сварки, равным 1/3 –1/4 диаметра   продольной арматуры. Диаметр хомутов в вязаных каркасах должен приниматься не менее 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высоте сечения до </w:t>
      </w:r>
      <w:smartTag w:uri="urn:schemas-microsoft-com:office:smarttags" w:element="metricconverter">
        <w:smartTagPr>
          <w:attr w:name="ProductID" w:val="8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smartTag w:uri="urn:schemas-microsoft-com:office:smarttags" w:element="metricconverter">
        <w:smartTagPr>
          <w:attr w:name="ProductID" w:val="5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высоте сечения свыше </w:t>
      </w:r>
      <w:smartTag w:uri="urn:schemas-microsoft-com:office:smarttags" w:element="metricconverter">
        <w:smartTagPr>
          <w:attr w:name="ProductID" w:val="80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800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smartTag w:uri="urn:schemas-microsoft-com:office:smarttags" w:element="metricconverter">
        <w:smartTagPr>
          <w:attr w:name="ProductID" w:val="8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E04E0A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6115050" cy="3105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2.3 Пример армирования ригеля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балках шириной более </w:t>
      </w:r>
      <w:smartTag w:uri="urn:schemas-microsoft-com:office:smarttags" w:element="metricconverter">
        <w:smartTagPr>
          <w:attr w:name="ProductID" w:val="1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число продольных стержней, заводимых за грань опоры должно быть не менее двух.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Длина </w:t>
      </w:r>
      <w:proofErr w:type="spell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анкеровки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растянутых стержней определяется по [2] и принимается не менее 30 диаметров и не менее </w:t>
      </w:r>
      <w:smartTag w:uri="urn:schemas-microsoft-com:office:smarttags" w:element="metricconverter">
        <w:smartTagPr>
          <w:attr w:name="ProductID" w:val="2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250 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Поперечную арматуру принимают класса В-</w:t>
      </w:r>
      <w:r w:rsidRPr="00E04E0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, А-</w:t>
      </w:r>
      <w:r w:rsidRPr="00E04E0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04E0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зависимости от диаметра арматуры, выпускаемой промышленностью (таблица А.2) и величины поперечной силы 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2.4 Проверка прочности </w:t>
      </w:r>
      <w:proofErr w:type="gramStart"/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нормального  сечения</w:t>
      </w:r>
      <w:proofErr w:type="gramEnd"/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середине пролёта 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изгибающему моменту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Courier New" w:eastAsia="Times New Roman" w:hAnsi="Courier New" w:cs="Times New Roman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136525</wp:posOffset>
            </wp:positionV>
            <wp:extent cx="3470275" cy="3409950"/>
            <wp:effectExtent l="0" t="0" r="0" b="0"/>
            <wp:wrapTight wrapText="bothSides">
              <wp:wrapPolygon edited="0">
                <wp:start x="0" y="0"/>
                <wp:lineTo x="0" y="21479"/>
                <wp:lineTo x="21462" y="21479"/>
                <wp:lineTo x="21462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2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практической работе разрешается проверку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прочности  производить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учёта арматуры сжатой зоны (рисунок 2. 4).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Высота сжатой зоны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1300" w:dyaOrig="820">
          <v:shape id="_x0000_i1030" type="#_x0000_t75" style="width:65.25pt;height:41.25pt" o:ole="">
            <v:imagedata r:id="rId17" o:title=""/>
          </v:shape>
          <o:OLEObject Type="Embed" ProgID="Equation.3" ShapeID="_x0000_i1030" DrawAspect="Content" ObjectID="_1640463397" r:id="rId18"/>
        </w:objec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(2.5)</w:t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принятого сечения арматуры.</w:t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2.4 – Сечение ригеля</w:t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Высота сжатой зоны должна быть не больше предельной высоты, определяемой по формуле 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position w:val="-66"/>
          <w:sz w:val="28"/>
          <w:szCs w:val="28"/>
          <w:lang w:eastAsia="ru-RU"/>
        </w:rPr>
        <w:object w:dxaOrig="2680" w:dyaOrig="1100">
          <v:shape id="_x0000_i1031" type="#_x0000_t75" style="width:134.25pt;height:54.75pt" o:ole="">
            <v:imagedata r:id="rId19" o:title=""/>
          </v:shape>
          <o:OLEObject Type="Embed" ProgID="Equation.3" ShapeID="_x0000_i1031" DrawAspect="Content" ObjectID="_1640463398" r:id="rId20"/>
        </w:objec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(2.6)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ω – характеристика сжатой зоны бетона, определяемая по формуле 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GreekC" w:eastAsia="Times New Roman" w:hAnsi="GreekC" w:cs="GreekC"/>
          <w:position w:val="-12"/>
          <w:sz w:val="28"/>
          <w:szCs w:val="28"/>
          <w:lang w:eastAsia="ru-RU"/>
        </w:rPr>
        <w:object w:dxaOrig="2220" w:dyaOrig="380">
          <v:shape id="_x0000_i1032" type="#_x0000_t75" style="width:111pt;height:18.75pt" o:ole="">
            <v:imagedata r:id="rId21" o:title=""/>
          </v:shape>
          <o:OLEObject Type="Embed" ProgID="Equation.3" ShapeID="_x0000_i1032" DrawAspect="Content" ObjectID="_1640463399" r:id="rId22"/>
        </w:objec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(2.7)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формулах (2.6) и (2.7) расчётные сопротивления бетона принимаются в МПа.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х </w:t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sym w:font="Symbol" w:char="F0A3"/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</w:t>
      </w:r>
      <w:proofErr w:type="spellStart"/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</w:t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пр</w:t>
      </w:r>
      <w:proofErr w:type="spellEnd"/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  проверка прочности выполняется по формуле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E04E0A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3460" w:dyaOrig="420">
          <v:shape id="_x0000_i1033" type="#_x0000_t75" style="width:173.25pt;height:21pt" o:ole="">
            <v:imagedata r:id="rId23" o:title=""/>
          </v:shape>
          <o:OLEObject Type="Embed" ProgID="Equation.3" ShapeID="_x0000_i1033" DrawAspect="Content" ObjectID="_1640463400" r:id="rId24"/>
        </w:objec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(2.8)</w:t>
      </w:r>
    </w:p>
    <w:p w:rsidR="00E04E0A" w:rsidRPr="00E04E0A" w:rsidRDefault="00E04E0A" w:rsidP="00E04E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изгибающий момент в середине пролёта ригеля. Рабочая высота сечения 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E04E0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0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равна расстоянию между центром тяжести поперечного сечения арматуры и верхней кромки балки (рисунок 2. 4).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proofErr w:type="gramStart"/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 &gt;</w:t>
      </w:r>
      <w:proofErr w:type="gramEnd"/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</w:t>
      </w:r>
      <w:proofErr w:type="spellStart"/>
      <w:r w:rsidRPr="00E04E0A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х</w:t>
      </w:r>
      <w:r w:rsidRPr="00E04E0A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пр</w:t>
      </w:r>
      <w:proofErr w:type="spellEnd"/>
      <w:r w:rsidRPr="00E04E0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  необходимо увеличить площадь сжатой зоны бетона путём увеличения высоты или ширины сечения, а также путём  устройства верхней полки.   </w:t>
      </w:r>
    </w:p>
    <w:p w:rsidR="00E04E0A" w:rsidRPr="00E04E0A" w:rsidRDefault="00E04E0A" w:rsidP="00E04E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2.5 Построение эпюры материалов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определения места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обрыва  верхнего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ряда нижней арматуры строится эпюра материалов (рисунок 2.5). Для этого определяют предельные моменты по формулам (2.5) и (2.8) для сечений 1-1 и 2-2 (рисунок 2.3). После этого графически в </w:t>
      </w:r>
      <w:proofErr w:type="gram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масштабе  определяют</w:t>
      </w:r>
      <w:proofErr w:type="gram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места пересечения линий предельных моментов с огибающей эпюрой (рисунок 2.5). Точки пересечения моментов являются теоретическими местами обрыва стержней.  </w:t>
      </w:r>
    </w:p>
    <w:p w:rsidR="00E04E0A" w:rsidRPr="00E04E0A" w:rsidRDefault="00E04E0A" w:rsidP="00E04E0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Courier New" w:eastAsia="Times New Roman" w:hAnsi="Courier New" w:cs="Times New Roman"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118745</wp:posOffset>
            </wp:positionH>
            <wp:positionV relativeFrom="paragraph">
              <wp:posOffset>1019810</wp:posOffset>
            </wp:positionV>
            <wp:extent cx="6113145" cy="2345055"/>
            <wp:effectExtent l="0" t="0" r="1905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Реальное место обрыва определяют с учётом заведения стержней за теоретическое   место обрыва на длину </w:t>
      </w:r>
      <w:proofErr w:type="spell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анкеровки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Длину </w:t>
      </w:r>
      <w:proofErr w:type="spellStart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анкеровки</w:t>
      </w:r>
      <w:proofErr w:type="spellEnd"/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принять для арматуры периодического профиля равным 30 диаметрам арматуры и не менее </w:t>
      </w:r>
      <w:smartTag w:uri="urn:schemas-microsoft-com:office:smarttags" w:element="metricconverter">
        <w:smartTagPr>
          <w:attr w:name="ProductID" w:val="250 мм"/>
        </w:smartTagPr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250 </w:t>
        </w:r>
        <w:proofErr w:type="gramStart"/>
        <w:r w:rsidRPr="00E04E0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мм</w:t>
        </w:r>
      </w:smartTag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proofErr w:type="gramEnd"/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2.5 – Пример эпюры материалов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2.6 Контрольные вопросы</w:t>
      </w:r>
    </w:p>
    <w:p w:rsidR="00E04E0A" w:rsidRPr="00E04E0A" w:rsidRDefault="00E04E0A" w:rsidP="00E04E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Расчётная схема ригеля.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изгибающего момента и поперечной силы. 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изгибающего момента и поперечной силы в сечениях ригеля.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Эпюра изгибающего момента и поперечной силы. 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Эпюра материалов.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продольной и поперечной арматуры.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жёсткого и шарнирного стыка ригеля с колонной.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Нормативное и расчётное сопротивление материалов.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Коэффициент надёжности по материалу </w:t>
      </w:r>
    </w:p>
    <w:p w:rsidR="00E04E0A" w:rsidRPr="00E04E0A" w:rsidRDefault="00E04E0A" w:rsidP="00E04E0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Предельная высота сжатой зоны бетона.</w:t>
      </w:r>
    </w:p>
    <w:p w:rsidR="00A75FE0" w:rsidRDefault="00E04E0A" w:rsidP="00E04E0A">
      <w:r w:rsidRPr="00E04E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Конструктивные требования к арматурным каркасам.</w:t>
      </w:r>
      <w:bookmarkStart w:id="0" w:name="_GoBack"/>
      <w:bookmarkEnd w:id="0"/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reekC">
    <w:panose1 w:val="00000400000000000000"/>
    <w:charset w:val="CC"/>
    <w:family w:val="auto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1F3C65"/>
    <w:multiLevelType w:val="hybridMultilevel"/>
    <w:tmpl w:val="50960512"/>
    <w:lvl w:ilvl="0" w:tplc="DA9E73F0">
      <w:start w:val="1"/>
      <w:numFmt w:val="decimal"/>
      <w:lvlText w:val="%1."/>
      <w:lvlJc w:val="left"/>
      <w:pPr>
        <w:tabs>
          <w:tab w:val="num" w:pos="1097"/>
        </w:tabs>
        <w:ind w:left="1154" w:hanging="43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B2"/>
    <w:rsid w:val="00287CB2"/>
    <w:rsid w:val="00A75FE0"/>
    <w:rsid w:val="00E0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72DBA5-906B-4720-AE00-E10AFBCBC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10" Type="http://schemas.openxmlformats.org/officeDocument/2006/relationships/image" Target="media/image4.png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963</Words>
  <Characters>5494</Characters>
  <Application>Microsoft Office Word</Application>
  <DocSecurity>0</DocSecurity>
  <Lines>45</Lines>
  <Paragraphs>12</Paragraphs>
  <ScaleCrop>false</ScaleCrop>
  <Company/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2020-01-13T17:30:00Z</dcterms:created>
  <dcterms:modified xsi:type="dcterms:W3CDTF">2020-01-13T17:30:00Z</dcterms:modified>
</cp:coreProperties>
</file>